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widowControl w:val="off"/>
        <w:tabs>
          <w:tab w:val="left" w:pos="3686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 7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Единым стандартам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качества обслуживания сетевыми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организациями потребителей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услуг сетевых организаций, утвержденным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приказом Минэнерго России от 15.04.2014 г. № 186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Calibri" w:hAnsi="Calibri" w:eastAsia="Times New Roman" w:cs="Calibri"/>
          <w:sz w:val="20"/>
          <w:szCs w:val="20"/>
          <w:lang w:eastAsia="ru-RU"/>
        </w:rPr>
      </w:pPr>
      <w:r>
        <w:rPr>
          <w:rFonts w:ascii="Calibri" w:hAnsi="Calibri" w:eastAsia="Times New Roman" w:cs="Calibri"/>
          <w:sz w:val="20"/>
          <w:szCs w:val="20"/>
          <w:lang w:eastAsia="ru-RU"/>
        </w:rPr>
      </w:r>
      <w:r>
        <w:rPr>
          <w:rFonts w:ascii="Calibri" w:hAnsi="Calibri" w:eastAsia="Times New Roman" w:cs="Calibri"/>
          <w:sz w:val="20"/>
          <w:szCs w:val="20"/>
          <w:lang w:eastAsia="ru-RU"/>
        </w:rPr>
      </w:r>
      <w:r>
        <w:rPr>
          <w:rFonts w:ascii="Calibri" w:hAnsi="Calibri" w:eastAsia="Times New Roman" w:cs="Calibri"/>
          <w:sz w:val="20"/>
          <w:szCs w:val="20"/>
          <w:lang w:eastAsia="ru-RU"/>
        </w:rPr>
      </w:r>
    </w:p>
    <w:p>
      <w:pPr>
        <w:jc w:val="center"/>
        <w:spacing w:after="0"/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pP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Информация о качестве обслуживания потребителей услуг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филиала ПАО «Россети Юг» – «Астраханьэнерго» за 2025 год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br w:type="page" w:clear="all"/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pP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  <w:t xml:space="preserve">Общая информация о сетевой организации</w:t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</w:p>
    <w:p>
      <w:pPr>
        <w:pStyle w:val="900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pPr>
      <w:r>
        <w:rPr>
          <w:rFonts w:ascii="Times New Roman" w:hAnsi="Times New Roman" w:cs="Times New Roman"/>
          <w:color w:val="365f91" w:themeColor="accent1" w:themeShade="BF"/>
          <w:sz w:val="26"/>
          <w:szCs w:val="26"/>
        </w:rPr>
        <w:t xml:space="preserve">Количество потребителей услуг сетевой организации: </w:t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</w:p>
    <w:p>
      <w:pPr>
        <w:pStyle w:val="900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1080"/>
        <w:jc w:val="both"/>
        <w:spacing w:after="0"/>
        <w:rPr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В 2025 году было осуществлено 4 578 технологических присоединений заявителей: </w:t>
      </w:r>
      <w:r>
        <w:rPr>
          <w:rFonts w:ascii="Times New Roman" w:hAnsi="Times New Roman" w:cs="Times New Roman"/>
          <w:highlight w:val="white"/>
        </w:rPr>
      </w:r>
      <w:r>
        <w:rPr>
          <w:highlight w:val="white"/>
        </w:rPr>
      </w:r>
    </w:p>
    <w:p>
      <w:pPr>
        <w:pStyle w:val="900"/>
        <w:numPr>
          <w:ilvl w:val="0"/>
          <w:numId w:val="23"/>
        </w:numPr>
        <w:ind w:left="0" w:right="0" w:firstLine="567"/>
        <w:jc w:val="both"/>
        <w:spacing w:after="0"/>
        <w:rPr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по 1-й категории надежности –  3 шт. </w:t>
      </w:r>
      <w:r>
        <w:rPr>
          <w:rFonts w:ascii="Times New Roman" w:hAnsi="Times New Roman" w:cs="Times New Roman"/>
          <w:highlight w:val="white"/>
        </w:rPr>
      </w:r>
      <w:r>
        <w:rPr>
          <w:highlight w:val="white"/>
        </w:rPr>
      </w:r>
    </w:p>
    <w:p>
      <w:pPr>
        <w:pStyle w:val="900"/>
        <w:numPr>
          <w:ilvl w:val="0"/>
          <w:numId w:val="23"/>
        </w:numPr>
        <w:ind w:left="1789" w:right="0" w:hanging="1222"/>
        <w:jc w:val="both"/>
        <w:spacing w:after="0"/>
        <w:rPr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по 2-й категории надежности –  37 шт.</w:t>
      </w:r>
      <w:r>
        <w:rPr>
          <w:rFonts w:ascii="Times New Roman" w:hAnsi="Times New Roman" w:cs="Times New Roman"/>
          <w:highlight w:val="white"/>
        </w:rPr>
      </w:r>
      <w:r>
        <w:rPr>
          <w:highlight w:val="white"/>
        </w:rPr>
      </w:r>
    </w:p>
    <w:p>
      <w:pPr>
        <w:pStyle w:val="900"/>
        <w:numPr>
          <w:ilvl w:val="0"/>
          <w:numId w:val="23"/>
        </w:numPr>
        <w:ind w:left="1789" w:right="0" w:hanging="1222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по 3-й категории надежности – 4538 шт.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00"/>
        <w:ind w:left="1080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tbl>
      <w:tblPr>
        <w:tblStyle w:val="902"/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2707"/>
        <w:gridCol w:w="3036"/>
        <w:gridCol w:w="3959"/>
      </w:tblGrid>
      <w:tr>
        <w:tblPrEx/>
        <w:trPr>
          <w:trHeight w:val="290"/>
        </w:trPr>
        <w:tc>
          <w:tcPr>
            <w:tcW w:w="2707" w:type="dxa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</w:rPr>
              <w:t xml:space="preserve">Уровень напряжения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tcW w:w="3036" w:type="dxa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</w:rPr>
              <w:t xml:space="preserve">Количество присоединений                         в 2024 году, шт.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tcW w:w="3959" w:type="dxa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</w:rPr>
              <w:t xml:space="preserve">Количество присоединений                         в 2025 году, шт.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tcW w:w="2707" w:type="dxa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0,4 кВ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5146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959" w:type="dxa"/>
            <w:textDirection w:val="lrTb"/>
            <w:noWrap w:val="false"/>
          </w:tcPr>
          <w:p>
            <w:pPr>
              <w:contextualSpacing/>
              <w:jc w:val="center"/>
              <w:spacing w:line="245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4526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tcW w:w="2707" w:type="dxa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6-10 кВ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959" w:type="dxa"/>
            <w:textDirection w:val="lrTb"/>
            <w:noWrap w:val="false"/>
          </w:tcPr>
          <w:p>
            <w:pPr>
              <w:contextualSpacing/>
              <w:jc w:val="center"/>
              <w:spacing w:line="245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51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tcW w:w="2707" w:type="dxa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 кВ - 35 кВ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959" w:type="dxa"/>
            <w:textDirection w:val="lrTb"/>
            <w:noWrap w:val="false"/>
          </w:tcPr>
          <w:p>
            <w:pPr>
              <w:contextualSpacing/>
              <w:jc w:val="center"/>
              <w:spacing w:line="245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tcW w:w="2707" w:type="dxa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110 – 220 кВ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959" w:type="dxa"/>
            <w:textDirection w:val="lrTb"/>
            <w:noWrap w:val="false"/>
          </w:tcPr>
          <w:p>
            <w:pPr>
              <w:contextualSpacing/>
              <w:jc w:val="center"/>
              <w:spacing w:line="245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</w:tbl>
    <w:p>
      <w:pPr>
        <w:pStyle w:val="900"/>
        <w:ind w:left="1080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tbl>
      <w:tblPr>
        <w:tblStyle w:val="902"/>
        <w:tblW w:w="970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91"/>
        <w:gridCol w:w="3041"/>
        <w:gridCol w:w="3971"/>
      </w:tblGrid>
      <w:tr>
        <w:tblPrEx/>
        <w:trPr>
          <w:trHeight w:val="550"/>
        </w:trPr>
        <w:tc>
          <w:tcPr>
            <w:tcW w:w="2691" w:type="dxa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</w:rPr>
              <w:t xml:space="preserve">Тип потребителей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</w:rPr>
              <w:t xml:space="preserve">Количество присоединений                         в 2024 году, шт.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tcW w:w="397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</w:rPr>
              <w:t xml:space="preserve">Количество присоединений                         в 2025 году, шт.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</w:tr>
      <w:tr>
        <w:tblPrEx/>
        <w:trPr>
          <w:trHeight w:val="274"/>
        </w:trPr>
        <w:tc>
          <w:tcPr>
            <w:tcW w:w="2691" w:type="dxa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Физические лица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highlight w:val="white"/>
              </w:rPr>
              <w:t xml:space="preserve">380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97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3790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296"/>
        </w:trPr>
        <w:tc>
          <w:tcPr>
            <w:tcW w:w="2691" w:type="dxa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Юридические лица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832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97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788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</w:tbl>
    <w:p>
      <w:pPr>
        <w:pStyle w:val="900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numPr>
          <w:ilvl w:val="1"/>
          <w:numId w:val="1"/>
        </w:numPr>
        <w:ind w:left="425" w:right="0" w:hanging="65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pPr>
      <w:r>
        <w:rPr>
          <w:rFonts w:ascii="Times New Roman" w:hAnsi="Times New Roman" w:cs="Times New Roman"/>
          <w:color w:val="365f91" w:themeColor="accent1" w:themeShade="BF"/>
          <w:sz w:val="26"/>
          <w:szCs w:val="26"/>
        </w:rPr>
        <w:t xml:space="preserve">Количество точек поставки всего и точек поставки, оборудованных приборами учета электрической энергии, с разбивкой: </w:t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</w:p>
    <w:p>
      <w:pPr>
        <w:pStyle w:val="900"/>
        <w:ind w:left="425" w:right="0" w:hanging="65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902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706"/>
        <w:gridCol w:w="2532"/>
        <w:gridCol w:w="2608"/>
      </w:tblGrid>
      <w:tr>
        <w:tblPrEx/>
        <w:trPr>
          <w:trHeight w:val="681"/>
        </w:trPr>
        <w:tc>
          <w:tcPr>
            <w:tcW w:w="4706" w:type="dxa"/>
            <w:textDirection w:val="lrTb"/>
            <w:noWrap w:val="false"/>
          </w:tcPr>
          <w:p>
            <w:pPr>
              <w:pStyle w:val="900"/>
              <w:ind w:left="0"/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Потребители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  <w:tc>
          <w:tcPr>
            <w:tcW w:w="25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Количество точек поставки 202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4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г. (шт.)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  <w:tc>
          <w:tcPr>
            <w:tcW w:w="26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  <w:t xml:space="preserve">Количество точек поставки 202</w:t>
            </w:r>
            <w:r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  <w:t xml:space="preserve"> г. (шт.)</w:t>
            </w:r>
            <w:r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25"/>
        </w:trPr>
        <w:tc>
          <w:tcPr>
            <w:tcW w:w="4706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Всего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251130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303467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37"/>
        </w:trPr>
        <w:tc>
          <w:tcPr>
            <w:tcW w:w="4706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245204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296057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651"/>
        </w:trPr>
        <w:tc>
          <w:tcPr>
            <w:tcW w:w="4706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93916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97736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7"/>
        </w:trPr>
        <w:tc>
          <w:tcPr>
            <w:tcW w:w="4706" w:type="dxa"/>
            <w:textDirection w:val="lrTb"/>
            <w:noWrap w:val="false"/>
          </w:tcPr>
          <w:p>
            <w:pPr>
              <w:pStyle w:val="900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Юридические лица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39669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37284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25"/>
        </w:trPr>
        <w:tc>
          <w:tcPr>
            <w:tcW w:w="4706" w:type="dxa"/>
            <w:textDirection w:val="lrTb"/>
            <w:noWrap w:val="false"/>
          </w:tcPr>
          <w:p>
            <w:pPr>
              <w:pStyle w:val="900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38663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35664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651"/>
        </w:trPr>
        <w:tc>
          <w:tcPr>
            <w:tcW w:w="4706" w:type="dxa"/>
            <w:textDirection w:val="lrTb"/>
            <w:noWrap w:val="false"/>
          </w:tcPr>
          <w:p>
            <w:pPr>
              <w:pStyle w:val="900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8037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9978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7"/>
        </w:trPr>
        <w:tc>
          <w:tcPr>
            <w:tcW w:w="4706" w:type="dxa"/>
            <w:textDirection w:val="lrTb"/>
            <w:noWrap w:val="false"/>
          </w:tcPr>
          <w:p>
            <w:pPr>
              <w:pStyle w:val="900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Ввода в многоквартирные дома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4751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4578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25"/>
        </w:trPr>
        <w:tc>
          <w:tcPr>
            <w:tcW w:w="4706" w:type="dxa"/>
            <w:textDirection w:val="lrTb"/>
            <w:noWrap w:val="false"/>
          </w:tcPr>
          <w:p>
            <w:pPr>
              <w:pStyle w:val="900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4399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4231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623"/>
        </w:trPr>
        <w:tc>
          <w:tcPr>
            <w:tcW w:w="4706" w:type="dxa"/>
            <w:textDirection w:val="lrTb"/>
            <w:noWrap w:val="false"/>
          </w:tcPr>
          <w:p>
            <w:pPr>
              <w:pStyle w:val="900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584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788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25"/>
        </w:trPr>
        <w:tc>
          <w:tcPr>
            <w:tcW w:w="4706" w:type="dxa"/>
            <w:textDirection w:val="lrTb"/>
            <w:noWrap w:val="false"/>
          </w:tcPr>
          <w:p>
            <w:pPr>
              <w:pStyle w:val="900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Физические лица (частные домовладения)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206710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255264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25"/>
        </w:trPr>
        <w:tc>
          <w:tcPr>
            <w:tcW w:w="4706" w:type="dxa"/>
            <w:textDirection w:val="lrTb"/>
            <w:noWrap w:val="false"/>
          </w:tcPr>
          <w:p>
            <w:pPr>
              <w:pStyle w:val="900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202142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249821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623"/>
        </w:trPr>
        <w:tc>
          <w:tcPr>
            <w:tcW w:w="4706" w:type="dxa"/>
            <w:textDirection w:val="lrTb"/>
            <w:noWrap w:val="false"/>
          </w:tcPr>
          <w:p>
            <w:pPr>
              <w:pStyle w:val="900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80279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82239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</w:tbl>
    <w:p>
      <w:pPr>
        <w:pStyle w:val="900"/>
        <w:ind w:left="1080"/>
        <w:jc w:val="both"/>
        <w:spacing w:after="0"/>
        <w:shd w:val="clear" w:color="auto" w:fill="ffffff" w:themeFill="background1"/>
        <w:rPr>
          <w:rFonts w:ascii="Times New Roman" w:hAnsi="Times New Roman" w:cs="Times New Roman"/>
          <w:b w:val="0"/>
          <w:bCs w:val="0"/>
          <w:color w:val="365f91" w:themeColor="accent1" w:themeShade="BF"/>
        </w:rPr>
      </w:pPr>
      <w:r>
        <w:rPr>
          <w:rFonts w:ascii="Times New Roman" w:hAnsi="Times New Roman" w:cs="Times New Roman"/>
          <w:b w:val="0"/>
          <w:bCs w:val="0"/>
          <w:color w:val="365f91" w:themeColor="accent1" w:themeShade="BF"/>
        </w:rPr>
        <w:t xml:space="preserve">  </w:t>
      </w:r>
      <w:r>
        <w:rPr>
          <w:rFonts w:ascii="Times New Roman" w:hAnsi="Times New Roman" w:cs="Times New Roman"/>
          <w:b w:val="0"/>
          <w:bCs w:val="0"/>
          <w:color w:val="365f91" w:themeColor="accent1" w:themeShade="BF"/>
        </w:rPr>
      </w:r>
      <w:r>
        <w:rPr>
          <w:rFonts w:ascii="Times New Roman" w:hAnsi="Times New Roman" w:cs="Times New Roman"/>
          <w:b w:val="0"/>
          <w:bCs w:val="0"/>
          <w:color w:val="365f91" w:themeColor="accent1" w:themeShade="BF"/>
        </w:rPr>
      </w:r>
    </w:p>
    <w:p>
      <w:pPr>
        <w:rPr>
          <w:rFonts w:ascii="Times New Roman" w:hAnsi="Times New Roman" w:cs="Times New Roman"/>
          <w:b w:val="0"/>
          <w:bCs w:val="0"/>
          <w:color w:val="366191" w:themeColor="accent1" w:themeShade="BF"/>
        </w:rPr>
      </w:pPr>
      <w:r>
        <w:rPr>
          <w:rFonts w:ascii="Times New Roman" w:hAnsi="Times New Roman" w:cs="Times New Roman"/>
          <w:b w:val="0"/>
          <w:bCs w:val="0"/>
          <w:color w:val="366191" w:themeColor="accent1" w:themeShade="BF"/>
        </w:rPr>
      </w:r>
      <w:r>
        <w:rPr>
          <w:rFonts w:ascii="Times New Roman" w:hAnsi="Times New Roman" w:cs="Times New Roman"/>
          <w:b w:val="0"/>
          <w:bCs w:val="0"/>
          <w:color w:val="366191" w:themeColor="accent1" w:themeShade="BF"/>
        </w:rPr>
      </w:r>
      <w:r>
        <w:rPr>
          <w:rFonts w:ascii="Times New Roman" w:hAnsi="Times New Roman" w:cs="Times New Roman"/>
          <w:b w:val="0"/>
          <w:bCs w:val="0"/>
          <w:color w:val="366191" w:themeColor="accent1" w:themeShade="BF"/>
        </w:rPr>
      </w:r>
    </w:p>
    <w:p>
      <w:pPr>
        <w:rPr>
          <w:rFonts w:ascii="Times New Roman" w:hAnsi="Times New Roman" w:cs="Times New Roman"/>
          <w:b w:val="0"/>
          <w:bCs w:val="0"/>
          <w:color w:val="366191" w:themeColor="accent1" w:themeShade="BF"/>
        </w:rPr>
      </w:pPr>
      <w:r>
        <w:rPr>
          <w:rFonts w:ascii="Times New Roman" w:hAnsi="Times New Roman" w:cs="Times New Roman"/>
          <w:b w:val="0"/>
          <w:bCs w:val="0"/>
          <w:color w:val="366191" w:themeColor="accent1" w:themeShade="BF"/>
        </w:rPr>
      </w:r>
      <w:r>
        <w:rPr>
          <w:rFonts w:ascii="Times New Roman" w:hAnsi="Times New Roman" w:cs="Times New Roman"/>
          <w:b w:val="0"/>
          <w:bCs w:val="0"/>
          <w:color w:val="366191" w:themeColor="accent1" w:themeShade="BF"/>
        </w:rPr>
      </w:r>
      <w:r>
        <w:rPr>
          <w:rFonts w:ascii="Times New Roman" w:hAnsi="Times New Roman" w:cs="Times New Roman"/>
          <w:b w:val="0"/>
          <w:bCs w:val="0"/>
          <w:color w:val="366191" w:themeColor="accent1" w:themeShade="BF"/>
        </w:rPr>
      </w:r>
    </w:p>
    <w:p>
      <w:pPr>
        <w:rPr>
          <w:rFonts w:ascii="Times New Roman" w:hAnsi="Times New Roman" w:cs="Times New Roman"/>
          <w:b w:val="0"/>
          <w:bCs w:val="0"/>
          <w:color w:val="366191" w:themeColor="accent1" w:themeShade="BF"/>
        </w:rPr>
      </w:pPr>
      <w:r>
        <w:rPr>
          <w:rFonts w:ascii="Times New Roman" w:hAnsi="Times New Roman" w:cs="Times New Roman"/>
          <w:b w:val="0"/>
          <w:bCs w:val="0"/>
          <w:color w:val="365f91" w:themeColor="accent1" w:themeShade="BF"/>
          <w:highlight w:val="none"/>
          <w:lang w:val="en-US"/>
        </w:rPr>
      </w:r>
      <w:r>
        <w:rPr>
          <w:rFonts w:ascii="Times New Roman" w:hAnsi="Times New Roman" w:cs="Times New Roman"/>
          <w:b w:val="0"/>
          <w:bCs w:val="0"/>
          <w:color w:val="366191" w:themeColor="accent1" w:themeShade="BF"/>
        </w:rPr>
      </w:r>
      <w:r>
        <w:rPr>
          <w:rFonts w:ascii="Times New Roman" w:hAnsi="Times New Roman" w:cs="Times New Roman"/>
          <w:b w:val="0"/>
          <w:bCs w:val="0"/>
          <w:color w:val="366191" w:themeColor="accent1" w:themeShade="BF"/>
        </w:rPr>
      </w:r>
    </w:p>
    <w:p>
      <w:pPr>
        <w:rPr>
          <w:rFonts w:ascii="Times New Roman" w:hAnsi="Times New Roman" w:cs="Times New Roman"/>
          <w:b w:val="0"/>
          <w:bCs w:val="0"/>
          <w:color w:val="366191" w:themeColor="accent1" w:themeShade="BF"/>
          <w:highlight w:val="none"/>
          <w:lang w:val="en-US"/>
        </w:rPr>
      </w:pPr>
      <w:r>
        <w:rPr>
          <w:rFonts w:ascii="Times New Roman" w:hAnsi="Times New Roman" w:cs="Times New Roman"/>
          <w:b w:val="0"/>
          <w:bCs w:val="0"/>
          <w:color w:val="365f91" w:themeColor="accent1" w:themeShade="BF"/>
          <w:highlight w:val="none"/>
          <w:lang w:val="en-US"/>
        </w:rPr>
      </w:r>
      <w:r>
        <w:rPr>
          <w:rFonts w:ascii="Times New Roman" w:hAnsi="Times New Roman" w:cs="Times New Roman"/>
          <w:b w:val="0"/>
          <w:bCs w:val="0"/>
          <w:color w:val="366191" w:themeColor="accent1" w:themeShade="BF"/>
          <w:highlight w:val="none"/>
          <w:lang w:val="en-US"/>
        </w:rPr>
      </w:r>
      <w:r>
        <w:rPr>
          <w:rFonts w:ascii="Times New Roman" w:hAnsi="Times New Roman" w:cs="Times New Roman"/>
          <w:b w:val="0"/>
          <w:bCs w:val="0"/>
          <w:color w:val="366191" w:themeColor="accent1" w:themeShade="BF"/>
          <w:highlight w:val="none"/>
          <w:lang w:val="en-US"/>
        </w:rPr>
      </w:r>
    </w:p>
    <w:p>
      <w:pPr>
        <w:ind w:left="0" w:right="0" w:firstLine="425"/>
        <w:spacing w:after="0" w:afterAutospacing="0"/>
        <w:rPr>
          <w:rFonts w:ascii="Times New Roman" w:hAnsi="Times New Roman" w:cs="Times New Roman"/>
          <w:b w:val="0"/>
          <w:bCs w:val="0"/>
          <w:color w:val="366191" w:themeColor="accent1" w:themeShade="BF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26"/>
          <w:szCs w:val="26"/>
          <w:lang w:val="en-US"/>
        </w:rPr>
        <w:t xml:space="preserve">1.3. </w:t>
      </w:r>
      <w:r>
        <w:rPr>
          <w:rFonts w:ascii="Times New Roman" w:hAnsi="Times New Roman" w:cs="Times New Roman"/>
          <w:b w:val="0"/>
          <w:bCs w:val="0"/>
          <w:color w:val="365f91" w:themeColor="accent1" w:themeShade="BF"/>
          <w:sz w:val="26"/>
          <w:szCs w:val="26"/>
          <w:lang w:val="en-US"/>
        </w:rPr>
        <w:t xml:space="preserve">Информация об объектах электросетевого хозяйства сетевой организации: </w:t>
      </w:r>
      <w:r>
        <w:rPr>
          <w:rFonts w:ascii="Times New Roman" w:hAnsi="Times New Roman" w:cs="Times New Roman"/>
          <w:b w:val="0"/>
          <w:bCs w:val="0"/>
          <w:color w:val="366191" w:themeColor="accent1" w:themeShade="BF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color w:val="366191" w:themeColor="accent1" w:themeShade="BF"/>
          <w:sz w:val="26"/>
          <w:szCs w:val="26"/>
          <w:highlight w:val="none"/>
        </w:rPr>
      </w:r>
    </w:p>
    <w:p>
      <w:pPr>
        <w:ind w:left="0" w:right="0" w:firstLine="425"/>
        <w:spacing w:after="0" w:afterAutospacing="0"/>
        <w:rPr>
          <w:rFonts w:ascii="Times New Roman" w:hAnsi="Times New Roman" w:cs="Times New Roman"/>
          <w:b/>
          <w:bCs/>
          <w:color w:val="366191" w:themeColor="accent1" w:themeShade="BF"/>
          <w:lang w:val="en-US"/>
        </w:rPr>
      </w:pPr>
      <w:r>
        <w:rPr>
          <w:rFonts w:ascii="Times New Roman" w:hAnsi="Times New Roman" w:cs="Times New Roman"/>
          <w:b w:val="0"/>
          <w:bCs w:val="0"/>
          <w:color w:val="auto"/>
          <w:lang w:val="en-US"/>
        </w:rPr>
        <w:t xml:space="preserve">1.3.1. Протяженность ЛЭП филиала ПАО «Россети Юг» - «Астраханьэнерго»</w:t>
      </w:r>
      <w:r>
        <w:rPr>
          <w:rFonts w:ascii="Times New Roman" w:hAnsi="Times New Roman" w:cs="Times New Roman"/>
          <w:b/>
          <w:bCs/>
          <w:color w:val="366191" w:themeColor="accent1" w:themeShade="BF"/>
          <w:lang w:val="en-US"/>
        </w:rPr>
      </w:r>
      <w:r>
        <w:rPr>
          <w:rFonts w:ascii="Times New Roman" w:hAnsi="Times New Roman" w:cs="Times New Roman"/>
          <w:b/>
          <w:bCs/>
          <w:color w:val="366191" w:themeColor="accent1" w:themeShade="BF"/>
          <w:lang w:val="en-US"/>
        </w:rPr>
      </w:r>
    </w:p>
    <w:tbl>
      <w:tblPr>
        <w:tblpPr w:horzAnchor="page" w:tblpX="1381" w:vertAnchor="text" w:tblpY="210" w:leftFromText="180" w:topFromText="0" w:rightFromText="180" w:bottomFromText="0"/>
        <w:tblW w:w="10349" w:type="dxa"/>
        <w:tblLayout w:type="fixed"/>
        <w:tblLook w:val="04A0" w:firstRow="1" w:lastRow="0" w:firstColumn="1" w:lastColumn="0" w:noHBand="0" w:noVBand="1"/>
      </w:tblPr>
      <w:tblGrid>
        <w:gridCol w:w="1537"/>
        <w:gridCol w:w="1300"/>
        <w:gridCol w:w="1559"/>
        <w:gridCol w:w="1559"/>
        <w:gridCol w:w="1276"/>
        <w:gridCol w:w="1559"/>
        <w:gridCol w:w="1559"/>
      </w:tblGrid>
      <w:tr>
        <w:tblPrEx/>
        <w:trPr>
          <w:trHeight w:val="30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418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Количество (шт)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Протяженность по трассе (км)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Протяженность по цепям (км)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Количество (шт)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Протяженность по трассе (км)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Протяженность по цепям (км)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ВЛ 0.4 кВ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6 424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6 863,20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6 913,23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6 588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6 940,58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6 990,61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ВЛ 6-20 кВ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1 832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10 770,74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10 793,90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1 917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10 869,18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10 892,35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ВЛ 35 кВ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46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664,98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768,52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46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664,98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768,52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ВЛ 110 кВ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99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2 380,05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2 998,28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99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2 380,05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2 998,28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lang w:eastAsia="ru-RU"/>
              </w:rPr>
              <w:t xml:space="preserve">ИТОГО ВЛ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8 401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20 678,96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21 473,93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8 650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20 854,79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21 649,77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КЛ 0.4 кВ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2 258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508,75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508,75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2 590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581,55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581,55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КЛ 6-20 кВ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2 287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983,61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983,61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2 474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1 064,23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1 064,23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КЛ 35 кВ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0,09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0,09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0,09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0,09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КЛ 110 кВ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11,04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11,04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11,04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11,04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lang w:eastAsia="ru-RU"/>
              </w:rPr>
              <w:t xml:space="preserve">ИТОГО КЛ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highlight w:val="white"/>
              </w:rPr>
              <w:t xml:space="preserve">4 556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highlight w:val="white"/>
              </w:rPr>
              <w:t xml:space="preserve">1 503,48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highlight w:val="white"/>
              </w:rPr>
              <w:t xml:space="preserve">1 503,48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5 075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1 656,90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1 656,90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ЛЭП 0.4 кВ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8 682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7 371,94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7 421,98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9 178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7 522,12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7 572,16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ЛЭП 6-20 кВ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4 119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11 754,34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11 777,51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4 391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11 933,41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11 956,58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ЛЭП 35 кВ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47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665,06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768,61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47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665,06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768,61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ЛЭП 110 кВ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109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2 391,09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3 009,32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109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2 391,09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 xml:space="preserve">3 009,32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lang w:eastAsia="ru-RU"/>
              </w:rPr>
              <w:t xml:space="preserve">ИТОГО ЛЭП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12 957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22 182,44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22 977,41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13 725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22 511,69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  <w:t xml:space="preserve">23 306,67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highlight w:val="white"/>
              </w:rPr>
            </w:r>
          </w:p>
        </w:tc>
      </w:tr>
    </w:tbl>
    <w:p>
      <w:pPr>
        <w:pStyle w:val="900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425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1.3.2. Количество и мощность подстанций филиала ПАО «Россети Юг» - «Астраханьэнерго»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902"/>
        <w:tblW w:w="0" w:type="auto"/>
        <w:tblInd w:w="89" w:type="dxa"/>
        <w:tblLayout w:type="fixed"/>
        <w:tblLook w:val="04A0" w:firstRow="1" w:lastRow="0" w:firstColumn="1" w:lastColumn="0" w:noHBand="0" w:noVBand="1"/>
      </w:tblPr>
      <w:tblGrid>
        <w:gridCol w:w="3420"/>
        <w:gridCol w:w="1816"/>
        <w:gridCol w:w="1302"/>
        <w:gridCol w:w="1417"/>
        <w:gridCol w:w="1505"/>
      </w:tblGrid>
      <w:tr>
        <w:tblPrEx/>
        <w:trPr/>
        <w:tc>
          <w:tcPr>
            <w:tcW w:w="342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Наименование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gridSpan w:val="2"/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2024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gridSpan w:val="2"/>
            <w:tcW w:w="2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2025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/>
        <w:tc>
          <w:tcPr>
            <w:tcW w:w="3420" w:type="dxa"/>
            <w:vMerge w:val="continue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МВА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1505" w:type="dxa"/>
            <w:textDirection w:val="lrTb"/>
            <w:noWrap w:val="false"/>
          </w:tcPr>
          <w:p>
            <w:pPr>
              <w:pStyle w:val="900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МВА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/>
        <w:tc>
          <w:tcPr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ПС 35 кВ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181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43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356,5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43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W w:w="15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352,50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/>
        <w:tc>
          <w:tcPr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ПС 110 кВ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181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91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1 826,4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91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W w:w="15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1 826,40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/>
        <w:tc>
          <w:tcPr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ПС 220 кВ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181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0" w:type="auto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W w:w="0" w:type="auto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W w:w="150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/>
        <w:tc>
          <w:tcPr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ТП, РП 6-10/0,38 кВ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4 727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1 329,24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4 932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W w:w="15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1 454,72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/>
        <w:tc>
          <w:tcPr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4 861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3 512,14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  <w:tc>
          <w:tcPr>
            <w:shd w:val="clear" w:color="ffffff" w:fill="ffffff"/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  <w:t xml:space="preserve">5 066</w:t>
            </w:r>
            <w:r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W w:w="15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  <w:t xml:space="preserve">3 633,62</w:t>
            </w:r>
            <w:r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highlight w:val="white"/>
              </w:rPr>
            </w:r>
          </w:p>
        </w:tc>
      </w:tr>
    </w:tbl>
    <w:p>
      <w:pPr>
        <w:pStyle w:val="900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ind w:left="425" w:right="0" w:firstLine="0"/>
        <w:jc w:val="both"/>
        <w:spacing w:after="0" w:line="240" w:lineRule="auto"/>
        <w:tabs>
          <w:tab w:val="left" w:pos="425" w:leader="none"/>
        </w:tabs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26"/>
          <w:szCs w:val="26"/>
        </w:rPr>
        <w:t xml:space="preserve">1.4. </w:t>
      </w:r>
      <w:r>
        <w:rPr>
          <w:rFonts w:ascii="Times New Roman" w:hAnsi="Times New Roman" w:cs="Times New Roman"/>
          <w:color w:val="365f91" w:themeColor="accent1" w:themeShade="BF"/>
          <w:sz w:val="26"/>
          <w:szCs w:val="26"/>
        </w:rPr>
        <w:t xml:space="preserve">Уровень физического износа объектов электросетевого хозяйства сетевой  организации</w:t>
      </w:r>
      <w:r>
        <w:rPr>
          <w:rFonts w:ascii="Times New Roman" w:hAnsi="Times New Roman" w:cs="Times New Roman"/>
          <w:color w:val="365f91" w:themeColor="accent1" w:themeShade="BF"/>
          <w:sz w:val="26"/>
          <w:szCs w:val="26"/>
        </w:rPr>
        <w:t xml:space="preserve">:</w:t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</w:p>
    <w:p>
      <w:p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978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3969"/>
        <w:gridCol w:w="2693"/>
        <w:gridCol w:w="3118"/>
      </w:tblGrid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Наименование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11" w:type="dxa"/>
            <w:vAlign w:val="center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Значение показателя, годы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highlight w:val="white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highlight w:val="white"/>
              </w:rPr>
              <w:t xml:space="preserve">02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121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Трансформаторное оборудование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70,25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69,57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Коммутационные аппараты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65,35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70,01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Общий износ по оборудованию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67,28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69,87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18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ВЛ 35-220 кВ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87,05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89,43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28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ВЛ 0,4-20 кВ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67,37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67,45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173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КЛ 35-220 кВ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КЛ 0,4-20 кВ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75,04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74,15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38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Общий износ по линиям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71,06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71,4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8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</w:tbl>
    <w:p>
      <w:pPr>
        <w:pStyle w:val="90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rPr>
          <w:rFonts w:ascii="Times New Roman" w:hAnsi="Times New Roman" w:cs="Times New Roman"/>
          <w:b/>
          <w:bCs/>
          <w:color w:val="366191" w:themeColor="accent1" w:themeShade="BF"/>
          <w:lang w:val="en-US"/>
        </w:rPr>
      </w:pPr>
      <w:r>
        <w:rPr>
          <w:rFonts w:ascii="Times New Roman" w:hAnsi="Times New Roman" w:cs="Times New Roman"/>
          <w:b/>
          <w:color w:val="365f91" w:themeColor="accent1" w:themeShade="BF"/>
          <w:lang w:val="en-US"/>
        </w:rPr>
        <w:br w:type="page" w:clear="all"/>
      </w:r>
      <w:r>
        <w:rPr>
          <w:rFonts w:ascii="Times New Roman" w:hAnsi="Times New Roman" w:cs="Times New Roman"/>
          <w:b/>
          <w:bCs/>
          <w:color w:val="366191" w:themeColor="accent1" w:themeShade="BF"/>
          <w:lang w:val="en-US"/>
        </w:rPr>
      </w:r>
      <w:r>
        <w:rPr>
          <w:rFonts w:ascii="Times New Roman" w:hAnsi="Times New Roman" w:cs="Times New Roman"/>
          <w:b/>
          <w:bCs/>
          <w:color w:val="366191" w:themeColor="accent1" w:themeShade="BF"/>
          <w:lang w:val="en-US"/>
        </w:rPr>
      </w:r>
    </w:p>
    <w:p>
      <w:pPr>
        <w:pStyle w:val="900"/>
        <w:numPr>
          <w:ilvl w:val="0"/>
          <w:numId w:val="1"/>
        </w:numPr>
        <w:ind w:left="720" w:right="0" w:hanging="295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pP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  <w:t xml:space="preserve">Информация о качестве услуг по передаче электрической энергии</w:t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</w:p>
    <w:p>
      <w:pPr>
        <w:numPr>
          <w:ilvl w:val="1"/>
          <w:numId w:val="1"/>
        </w:numPr>
        <w:contextualSpacing/>
        <w:ind w:left="1080" w:right="0" w:hanging="655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  <w:sz w:val="26"/>
          <w:szCs w:val="26"/>
        </w:rPr>
        <w:t xml:space="preserve">Показатели качества услуг по передаче электрической энергии: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contextualSpacing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9527" w:type="dxa"/>
        <w:jc w:val="center"/>
        <w:tblLook w:val="04A0" w:firstRow="1" w:lastRow="0" w:firstColumn="1" w:lastColumn="0" w:noHBand="0" w:noVBand="1"/>
      </w:tblPr>
      <w:tblGrid>
        <w:gridCol w:w="588"/>
        <w:gridCol w:w="5374"/>
        <w:gridCol w:w="1080"/>
        <w:gridCol w:w="900"/>
        <w:gridCol w:w="1585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88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374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Показатель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35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7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8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37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Динамика изменения показателя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Показатель средней продолжительности прекращений передачи электрической энергии (Пsaidi)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contextualSpacing w:val="0"/>
              <w:jc w:val="center"/>
              <w:spacing w:before="0" w:after="0" w:line="276" w:lineRule="auto"/>
              <w:rPr>
                <w:rFonts w:ascii="Times New Roman" w:hAnsi="Times New Roman" w:cs="Times New Roman"/>
                <w:color w:val="000000" w:themeColor="text1"/>
              </w:rPr>
              <w:suppressLineNumbers w:val="0"/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4,3084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contextualSpacing w:val="0"/>
              <w:jc w:val="center"/>
              <w:spacing w:before="0" w:after="0" w:line="276" w:lineRule="auto"/>
              <w:rPr>
                <w:rFonts w:ascii="Times New Roman" w:hAnsi="Times New Roman" w:cs="Times New Roman"/>
                <w:color w:val="000000" w:themeColor="text1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4,2709</w:t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76" w:lineRule="auto"/>
              <w:rPr>
                <w:rFonts w:ascii="Times New Roman" w:hAnsi="Times New Roman" w:cs="Times New Roman"/>
                <w:color w:val="000000" w:themeColor="text1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-0,87%</w:t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ВН (110 кВ и выше)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Показатель средней частоты прекращений передачи электрической энергии (Пsaifi)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contextualSpacing w:val="0"/>
              <w:jc w:val="center"/>
              <w:spacing w:before="0" w:after="0" w:line="276" w:lineRule="auto"/>
              <w:rPr>
                <w:rFonts w:ascii="Times New Roman" w:hAnsi="Times New Roman" w:cs="Times New Roman"/>
                <w:color w:val="000000" w:themeColor="text1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2,7121</w:t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contextualSpacing w:val="0"/>
              <w:jc w:val="center"/>
              <w:spacing w:before="0" w:after="0" w:line="276" w:lineRule="auto"/>
              <w:rPr>
                <w:rFonts w:ascii="Times New Roman" w:hAnsi="Times New Roman" w:cs="Times New Roman"/>
                <w:color w:val="000000" w:themeColor="text1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2,5019</w:t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76" w:lineRule="auto"/>
              <w:rPr>
                <w:rFonts w:ascii="Times New Roman" w:hAnsi="Times New Roman" w:cs="Times New Roman"/>
                <w:color w:val="000000" w:themeColor="text1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-7,75%</w:t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ВН (110 кВ и выше)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127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Показатель средней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(Пsaidi, план)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contextualSpacing w:val="0"/>
              <w:jc w:val="center"/>
              <w:spacing w:before="0" w:after="0" w:line="276" w:lineRule="auto"/>
              <w:rPr>
                <w:rFonts w:ascii="Times New Roman" w:hAnsi="Times New Roman" w:cs="Times New Roman"/>
                <w:color w:val="000000" w:themeColor="text1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7,2588</w:t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contextualSpacing w:val="0"/>
              <w:jc w:val="center"/>
              <w:spacing w:before="0" w:after="0" w:line="276" w:lineRule="auto"/>
              <w:rPr>
                <w:rFonts w:ascii="Times New Roman" w:hAnsi="Times New Roman" w:cs="Times New Roman"/>
                <w:color w:val="000000" w:themeColor="text1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,8211</w:t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76" w:lineRule="auto"/>
              <w:rPr>
                <w:rFonts w:ascii="Times New Roman" w:hAnsi="Times New Roman" w:cs="Times New Roman"/>
                <w:color w:val="000000" w:themeColor="text1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-6,03%</w:t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ВН (110 кВ и выше)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13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Показател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(Пsaifi, план)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contextualSpacing w:val="0"/>
              <w:jc w:val="center"/>
              <w:spacing w:before="0" w:after="0" w:line="276" w:lineRule="auto"/>
              <w:rPr>
                <w:rFonts w:ascii="Times New Roman" w:hAnsi="Times New Roman" w:cs="Times New Roman"/>
                <w:color w:val="000000" w:themeColor="text1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2,2429</w:t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contextualSpacing w:val="0"/>
              <w:jc w:val="center"/>
              <w:spacing w:before="0" w:after="0" w:line="276" w:lineRule="auto"/>
              <w:rPr>
                <w:rFonts w:ascii="Times New Roman" w:hAnsi="Times New Roman" w:cs="Times New Roman"/>
                <w:color w:val="000000" w:themeColor="text1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2,0250</w:t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76" w:lineRule="auto"/>
              <w:rPr>
                <w:rFonts w:ascii="Times New Roman" w:hAnsi="Times New Roman" w:cs="Times New Roman"/>
                <w:color w:val="000000" w:themeColor="text1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-9,72%</w:t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14:ligatures w14:val="none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ВН (110 кВ и выше)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8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113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5.1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</w:tbl>
    <w:p>
      <w:pPr>
        <w:contextualSpacing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  <w:sectPr>
          <w:footnotePr/>
          <w:endnotePr/>
          <w:type w:val="nextPage"/>
          <w:pgSz w:w="11906" w:h="16838" w:orient="portrait"/>
          <w:pgMar w:top="851" w:right="851" w:bottom="851" w:left="127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Рейтинг структурных единиц сетевой организации </w:t>
      </w:r>
      <w:r>
        <w:rPr>
          <w:rFonts w:ascii="Times New Roman" w:hAnsi="Times New Roman" w:cs="Times New Roman"/>
        </w:rPr>
        <w:t xml:space="preserve">по качеству оказания услуг по передаче электрической энергии, а также по качеству электрической энергии в отчетном периоде: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15552" w:type="dxa"/>
        <w:jc w:val="center"/>
        <w:tblLook w:val="04A0" w:firstRow="1" w:lastRow="0" w:firstColumn="1" w:lastColumn="0" w:noHBand="0" w:noVBand="1"/>
      </w:tblPr>
      <w:tblGrid>
        <w:gridCol w:w="375"/>
        <w:gridCol w:w="2002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2153"/>
        <w:gridCol w:w="1742"/>
      </w:tblGrid>
      <w:tr>
        <w:tblPrEx/>
        <w:trPr>
          <w:jc w:val="center"/>
          <w:trHeight w:val="579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Структурная единица сетевой организации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Показатель средней продолжительности прекращений передачи электрической энергии,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br/>
              <w:t xml:space="preserve">Пsaidi 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Показатель средней частоты прекращений передачи электрической энергии,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br/>
              <w:t xml:space="preserve">Пsaifi 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Показ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br/>
              <w:t xml:space="preserve">Пsaidi,рем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br/>
              <w:t xml:space="preserve">Пsaifi,рем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Показатель качества оказания услуг по передаче электри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Планируемые мероприятия, направленные на повышение качества оказания услуг по передаче электроэнергии, с указанием сроков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0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0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</w:tr>
      <w:tr>
        <w:tblPrEx/>
        <w:trPr>
          <w:jc w:val="center"/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0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Филиал "Астраханьэнерго"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4,2709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2,5019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6,8211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2,0250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</w:p>
        </w:tc>
      </w:tr>
    </w:tbl>
    <w:p>
      <w:pPr>
        <w:pStyle w:val="900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  <w:sectPr>
          <w:footnotePr/>
          <w:endnotePr/>
          <w:type w:val="nextPage"/>
          <w:pgSz w:w="16838" w:h="11906" w:orient="landscape"/>
          <w:pgMar w:top="1134" w:right="1134" w:bottom="85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numPr>
          <w:ilvl w:val="1"/>
          <w:numId w:val="1"/>
        </w:numPr>
        <w:ind w:left="0" w:right="0"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выполненные сетевой организацией </w:t>
      </w:r>
      <w:r>
        <w:rPr>
          <w:rFonts w:ascii="Times New Roman" w:hAnsi="Times New Roman" w:cs="Times New Roman"/>
        </w:rPr>
        <w:t xml:space="preserve">в целях повышения качества оказания услуг по передаче электрической энергии в отчетном периоде.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  <w:t xml:space="preserve">В целях повышения надежности работы оборудования, в соответствии с утвержденной Программой технического обслуживания и ремонтов в 202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5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году проведена целенаправленная работа по обеспечению надежного электроснабжения потребителей, в частности: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  <w:t xml:space="preserve">- расчистка тра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сс на ВЛ 0,4-110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кВ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–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73,7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га;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  <w:t xml:space="preserve">- замена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изоляторов на ВЛ 0,4-110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кВ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–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6 982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шт.;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  <w:t xml:space="preserve">- зам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ена провода на ВЛ 0,4-110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кВ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–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160,77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км;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  <w:t xml:space="preserve">- замена опор на ВЛ 0,4-110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кВ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–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973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шт.;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  <w:t xml:space="preserve">- ремонт автотрансформат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оров /трансформаторов 110 кВ –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1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шт.;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  <w:t xml:space="preserve">- замена вводов 110 кВ –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6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шт.;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  <w:t xml:space="preserve">- ре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монт выключателей 6-110 кВ –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307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шт.;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  <w:t xml:space="preserve">- ремо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н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т разъединителей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6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-110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кВ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–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3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91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шт.;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  <w:t xml:space="preserve">- замена ИОС разъединителей,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ОД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и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КЗ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и шинных опор 35-110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кВ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–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83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шт.;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  <w:t xml:space="preserve">- ремонт отделителей,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к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ороткозамыкателей 35-110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кВ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–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89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шт.;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  <w:t xml:space="preserve">- ремонт ТП (ЗТП, КТП, РП) –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49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0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шт.;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  <w:t xml:space="preserve">- ремонт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трансформаторов ТП ЗТП, КТП –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56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 шт.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900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900"/>
        <w:ind w:left="0" w:right="0" w:firstLine="567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cs="Times New Roman"/>
          <w:color w:val="000000" w:themeColor="text1"/>
        </w:rPr>
        <w:t xml:space="preserve">Все намеченные мероприятия выполнены в полном объеме. Выполнение мероприятий позволило достигнуть в 2025 году установленного Комитетом тарифного регулирования уровня надежности оказываемых услуг – выполнены показатели надежности Пsaidi / Пsaifi. </w:t>
      </w: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>
      <w:pPr>
        <w:pStyle w:val="900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both"/>
        <w:spacing w:after="0"/>
        <w:rPr>
          <w:rFonts w:ascii="Times New Roman" w:hAnsi="Times New Roman" w:cs="Times New Roman"/>
          <w:color w:val="a6a6a6" w:themeColor="background1" w:themeShade="A6"/>
        </w:rPr>
      </w:pPr>
      <w:r>
        <w:rPr>
          <w:rFonts w:ascii="Times New Roman" w:hAnsi="Times New Roman" w:cs="Times New Roman"/>
          <w:color w:val="a6a6a6" w:themeColor="background1" w:themeShade="A6"/>
        </w:rPr>
      </w:r>
      <w:r>
        <w:rPr>
          <w:rFonts w:ascii="Times New Roman" w:hAnsi="Times New Roman" w:cs="Times New Roman"/>
          <w:color w:val="a6a6a6" w:themeColor="background1" w:themeShade="A6"/>
        </w:rPr>
      </w:r>
      <w:r>
        <w:rPr>
          <w:rFonts w:ascii="Times New Roman" w:hAnsi="Times New Roman" w:cs="Times New Roman"/>
          <w:color w:val="a6a6a6" w:themeColor="background1" w:themeShade="A6"/>
        </w:rPr>
      </w:r>
    </w:p>
    <w:p>
      <w:pPr>
        <w:pStyle w:val="900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pP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  <w:t xml:space="preserve">Информация о качестве услуг по технологическому присоединению</w:t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</w:p>
    <w:p>
      <w:pPr>
        <w:pStyle w:val="90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наличии невостребованной мощности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992" w:right="0" w:hanging="425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3.1. приложение № 1.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numPr>
          <w:ilvl w:val="1"/>
          <w:numId w:val="1"/>
        </w:numPr>
        <w:ind w:left="0" w:right="0"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выполненные сетевой организацией </w:t>
      </w:r>
      <w:r>
        <w:rPr>
          <w:rFonts w:ascii="Times New Roman" w:hAnsi="Times New Roman" w:cs="Times New Roman"/>
        </w:rPr>
        <w:t xml:space="preserve">в целях совершенствования деятельности по технологическому присоединению в отчетном периоде.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0" w:righ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целях совершенствования деятельности по технологическому присоединению в филиале ПАО «Россети Юг» - «Астраханьэнерго» на регулярной основе осущес</w:t>
      </w:r>
      <w:r>
        <w:rPr>
          <w:rFonts w:ascii="Times New Roman" w:hAnsi="Times New Roman" w:cs="Times New Roman"/>
        </w:rPr>
        <w:t xml:space="preserve">твляется взаимодействие с энергоснабжающими организациями по созданию условий для упрощения подключения заявителей к электрическим сетям. Обеспечена возможность заключения договора энергоснабжения до завершения процедуры технологического присоединения.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0" w:righ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Интерактивные сервисы в части оказания услуг клиентам, в том числе по технологическому присоединению, переведены в формат единой точки доступа на базе Портала электросетевых услуг «Россети».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1080"/>
        <w:jc w:val="both"/>
        <w:spacing w:after="0"/>
        <w:rPr>
          <w:rFonts w:ascii="Times New Roman" w:hAnsi="Times New Roman" w:cs="Times New Roman"/>
          <w:b/>
          <w:color w:val="a6a6a6" w:themeColor="background1" w:themeShade="A6"/>
        </w:rPr>
      </w:pP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</w:p>
    <w:p>
      <w:pPr>
        <w:pStyle w:val="900"/>
        <w:numPr>
          <w:ilvl w:val="1"/>
          <w:numId w:val="1"/>
        </w:numPr>
        <w:ind w:left="0" w:right="0"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Сведения о качестве услуг по технологическому присоединению </w:t>
      </w:r>
      <w:r>
        <w:rPr>
          <w:rFonts w:ascii="Times New Roman" w:hAnsi="Times New Roman" w:cs="Times New Roman"/>
        </w:rPr>
        <w:t xml:space="preserve">к электрическим сетям сетевой организации.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1080" w:right="0" w:hanging="513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3.4.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br w:type="page" w:clear="all"/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pP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  <w:t xml:space="preserve">Качество обслуживания</w:t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  <w:r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r>
    </w:p>
    <w:p>
      <w:pPr>
        <w:pStyle w:val="900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обращений, поступивших в сетевую организацию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ind w:left="372" w:right="0" w:firstLine="195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4.1.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деятельности офисов обслуживания </w:t>
      </w:r>
      <w:r>
        <w:rPr>
          <w:rFonts w:ascii="Times New Roman" w:hAnsi="Times New Roman" w:cs="Times New Roman"/>
        </w:rPr>
        <w:t xml:space="preserve">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720" w:right="0" w:hanging="153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4.2.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заочном обслуживании потребителей </w:t>
      </w:r>
      <w:r>
        <w:rPr>
          <w:rFonts w:ascii="Times New Roman" w:hAnsi="Times New Roman" w:cs="Times New Roman"/>
        </w:rPr>
        <w:t xml:space="preserve">посредством телефонной связи.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720" w:right="0" w:hanging="153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4.3.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numPr>
          <w:ilvl w:val="1"/>
          <w:numId w:val="1"/>
        </w:numPr>
        <w:ind w:left="0" w:right="0"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Категория обращений, в которой зарегистрировано наибольшее число обращений </w:t>
      </w:r>
      <w:r>
        <w:rPr>
          <w:rFonts w:ascii="Times New Roman" w:hAnsi="Times New Roman" w:cs="Times New Roman"/>
        </w:rPr>
        <w:t xml:space="preserve">всего, обращений, содержащих жалобу, обращений, содержащих заявку на оказание услуг, поступивших в отчетном периоде, в соответствии с пунктом 4.1 Информации о качестве обслуживания потребителей услуг.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9528" w:type="dxa"/>
        <w:tblInd w:w="534" w:type="dxa"/>
        <w:tblLook w:val="04A0" w:firstRow="1" w:lastRow="0" w:firstColumn="1" w:lastColumn="0" w:noHBand="0" w:noVBand="1"/>
      </w:tblPr>
      <w:tblGrid>
        <w:gridCol w:w="5689"/>
        <w:gridCol w:w="1422"/>
        <w:gridCol w:w="1337"/>
        <w:gridCol w:w="1081"/>
      </w:tblGrid>
      <w:tr>
        <w:tblPrEx/>
        <w:trPr>
          <w:trHeight w:val="658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Наименование ДО/ филиала ДО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4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Филиал ПАО "Россети Юг" - "Астраханьэнерго"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1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759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Количество обращений, шт.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1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Темп роста, %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Показатель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I. Распределение обращений по категории обращений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122 042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86 672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71%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1.1. Жалоба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2 010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1 630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81%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1.2. Запрос справочной информации/консультации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46 770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19 888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43%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1.3. Заявка на оказание услуг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12 786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13 531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106%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1.3.1. заявка на ТП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7 118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6 989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98%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6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1.3.2. заявление на переоформление (восстановление) документов ТП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2 018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1 793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89%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1.3.3. заявление на перераспределение мощности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14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5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36%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6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1.3.4. заявка на установку/замену прибора учета по ФЗ-522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33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486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1473%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6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1.3.5. заявление на заключение договора по передаче электроэнергии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0%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1.3.6. заявка на дополнительные 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2 621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2 326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89%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6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1.3.7. прочее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982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1 932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197%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1.4. Приём/выдача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0%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1.5. Сообщение информации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60 190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51 425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85%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из них по аварийным отключениям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32 633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16 494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51%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1.6. Прием платежей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0%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1.7. Отзыв о деятельности компании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0%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1.8. Предложение по повышению качества обслуживания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0%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9" w:type="dxa"/>
            <w:vAlign w:val="center"/>
            <w:textDirection w:val="lrTb"/>
            <w:noWrap w:val="false"/>
          </w:tcPr>
          <w:p>
            <w:pPr>
              <w:ind w:firstLine="20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1.9. Прочие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286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195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68%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r>
          </w:p>
        </w:tc>
      </w:tr>
    </w:tbl>
    <w:p>
      <w:pPr>
        <w:pStyle w:val="900"/>
        <w:numPr>
          <w:ilvl w:val="1"/>
          <w:numId w:val="1"/>
        </w:numPr>
        <w:ind w:left="0" w:right="0" w:firstLine="36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Описание дополнительных услуг</w:t>
      </w:r>
      <w:r>
        <w:rPr>
          <w:rFonts w:ascii="Times New Roman" w:hAnsi="Times New Roman" w:cs="Times New Roman"/>
        </w:rPr>
        <w:t xml:space="preserve">, оказываемых потребителю, помимо услуг, указанных в Единых стандартах качества обслуживания сетевыми организациями потребителей сетевых организаций.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0" w:right="0" w:firstLine="567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Кроме основных видов деятельности, филиал ПАО «Россети Юг» - «Астраханьэнерго» осуществляет прочие виды деятельности в рамках оказания дополнительных (нетарифных) услуг.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0" w:right="0" w:firstLine="567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Филиалом на возмез</w:t>
      </w:r>
      <w:r>
        <w:rPr>
          <w:rFonts w:ascii="Times New Roman" w:hAnsi="Times New Roman" w:cs="Times New Roman"/>
        </w:rPr>
        <w:t xml:space="preserve">дной основе оказываются услуги по организации учета электрической энергии, техническому и ремонтно-эксплуатационному обслуживанию электросетевых объектов, совместному использованию опор, размещению оборудования, выполнению строительно-монтажных работ и пр.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0" w:right="0" w:firstLine="567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Оказание дополнительных (нетарифных) услуг осуществляется в соответствии с перечнем дополнительных (нетарифных) услуг ПАО «Россети Юг»: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0" w:righ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Аренда и услуги по размещению;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0" w:righ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Услуги по техническому и ремонтно-эксплуатационному обслуживанию;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0" w:righ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Выполнение строительно-монтажных работ;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0" w:righ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Консультационные и организационно-технические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0" w:righ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Агентские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0" w:righ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Услуги связи и информационных технологий;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0" w:righ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Другие услуги прочей деятельности;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0" w:right="0" w:firstLine="567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- Другие прочие услуги.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00"/>
        <w:ind w:left="0" w:righ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</w:rPr>
      </w:r>
    </w:p>
    <w:p>
      <w:pPr>
        <w:pStyle w:val="900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направленные на работу с социально уязвимыми группами населения.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0" w:right="0" w:firstLine="567"/>
        <w:jc w:val="both"/>
        <w:spacing w:after="0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Филиал ПАО «Россети Юг» - «Астраханьэнерго» обеспечивает обслуживание потребителей с соблюдением требований к организации офисов обслуживания потребителей, предусмотренных Стандартами качества обслуживания потребителей услуг ПАО «Россети Юг».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00"/>
        <w:ind w:left="0" w:right="0" w:firstLine="567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</w:rPr>
      </w:r>
    </w:p>
    <w:p>
      <w:pPr>
        <w:pStyle w:val="900"/>
        <w:numPr>
          <w:ilvl w:val="1"/>
          <w:numId w:val="1"/>
        </w:numPr>
        <w:ind w:left="0" w:right="0"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Темы и результаты опросов потребителей, проводимых сетевой организацией </w:t>
      </w:r>
      <w:r>
        <w:rPr>
          <w:rFonts w:ascii="Times New Roman" w:hAnsi="Times New Roman" w:cs="Times New Roman"/>
        </w:rPr>
        <w:t xml:space="preserve">для выявления мнения потребителей о качестве обслуживания, в рамках исполнения Единых стандартов качества обслуживания сетевыми организациями потребителей услуг сетевых организаций.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0" w:right="0" w:firstLine="567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изучения мнения потребителей услуг о качестве предоставляемых услуг в 202</w:t>
      </w:r>
      <w:r>
        <w:rPr>
          <w:rFonts w:ascii="Times New Roman" w:hAnsi="Times New Roman" w:cs="Times New Roman"/>
        </w:rPr>
        <w:t xml:space="preserve">5 году было осуществлено анкетирование 112</w:t>
      </w:r>
      <w:r>
        <w:rPr>
          <w:rFonts w:ascii="Times New Roman" w:hAnsi="Times New Roman" w:cs="Times New Roman"/>
        </w:rPr>
        <w:t xml:space="preserve"> потребителей услуг.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659" w:type="dxa"/>
        <w:tblInd w:w="468" w:type="dxa"/>
        <w:tblLook w:val="04A0" w:firstRow="1" w:lastRow="0" w:firstColumn="1" w:lastColumn="0" w:noHBand="0" w:noVBand="1"/>
      </w:tblPr>
      <w:tblGrid>
        <w:gridCol w:w="2614"/>
        <w:gridCol w:w="1298"/>
        <w:gridCol w:w="1268"/>
        <w:gridCol w:w="1447"/>
        <w:gridCol w:w="3032"/>
      </w:tblGrid>
      <w:tr>
        <w:tblPrEx/>
        <w:trPr>
          <w:trHeight w:val="56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ПАО "Россети Юг"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Метод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Период проведения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4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респондентов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Цель исследования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4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Филиал ПАО "Россети Юг"-"Астраханьэнерго"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Интервью по телефону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Оценка качества предоставляемых услуг по вопросу технологического присоединения, а также дополнительных услуг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0" w:right="0" w:firstLine="567"/>
        <w:jc w:val="both"/>
        <w:spacing w:after="0"/>
        <w:rPr>
          <w:rFonts w:ascii="Times New Roman" w:hAnsi="Times New Roman" w:cs="Times New Roman"/>
        </w:rPr>
      </w:pPr>
      <w:r/>
      <w:bookmarkStart w:id="0" w:name="_GoBack"/>
      <w:r/>
      <w:bookmarkEnd w:id="0"/>
      <w:r>
        <w:rPr>
          <w:rFonts w:ascii="Times New Roman" w:hAnsi="Times New Roman" w:cs="Times New Roman"/>
        </w:rPr>
        <w:t xml:space="preserve">Полученные статистические данные </w:t>
      </w:r>
      <w:r>
        <w:rPr>
          <w:rFonts w:ascii="Times New Roman" w:hAnsi="Times New Roman" w:cs="Times New Roman"/>
        </w:rPr>
        <w:t xml:space="preserve">говорят о том, что потребители в целом положительно оценивают качество предоставляемых услуг, следовательно, филиал в полной мере реализует клиентоориентированную политику, которая отражает место интересов потребителей услуг в системе приоритетов компании.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0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numPr>
          <w:ilvl w:val="1"/>
          <w:numId w:val="1"/>
        </w:numPr>
        <w:ind w:left="0" w:right="0"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выполняемые сетевой организацией </w:t>
      </w:r>
      <w:r>
        <w:rPr>
          <w:rFonts w:ascii="Times New Roman" w:hAnsi="Times New Roman" w:cs="Times New Roman"/>
        </w:rPr>
        <w:t xml:space="preserve">в целях повышения качества обслуживания 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numPr>
          <w:ilvl w:val="0"/>
          <w:numId w:val="15"/>
        </w:numPr>
        <w:ind w:left="0" w:right="0" w:firstLine="567"/>
        <w:jc w:val="both"/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Сила</w:t>
      </w:r>
      <w:r>
        <w:rPr>
          <w:rFonts w:ascii="Times New Roman" w:hAnsi="Times New Roman" w:cs="Times New Roman"/>
          <w:color w:val="000000" w:themeColor="text1"/>
        </w:rPr>
        <w:t xml:space="preserve">ми сотрудников филиала ПАО «Россети Юг» - «Астраханьэнерго» организовано </w:t>
      </w:r>
      <w:r>
        <w:rPr>
          <w:rFonts w:ascii="Times New Roman" w:hAnsi="Times New Roman" w:cs="Times New Roman"/>
          <w:color w:val="000000" w:themeColor="text1"/>
        </w:rPr>
        <w:t xml:space="preserve">информирование потребителей о наличии интерактивных клиентских ресурсов ПАО «Россети», где можно задать вопрос, либо направить обращение по направлению деятельности компании.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900"/>
        <w:numPr>
          <w:ilvl w:val="0"/>
          <w:numId w:val="14"/>
        </w:numPr>
        <w:ind w:left="0" w:right="0" w:firstLine="567"/>
        <w:jc w:val="both"/>
        <w:spacing w:after="0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Модернизирован раздел «Потребителям» на официальном сайте Общества в части соответствия требованиям Стандартов качества обслуживания потребителей услуг.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00"/>
        <w:numPr>
          <w:ilvl w:val="0"/>
          <w:numId w:val="14"/>
        </w:numPr>
        <w:ind w:left="0" w:right="0" w:firstLine="567"/>
        <w:jc w:val="both"/>
        <w:spacing w:after="0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  <w:t xml:space="preserve">Обеспечен перевод трафика горячей линии на Единое интеллектуальное меню</w:t>
      </w:r>
      <w:r>
        <w:rPr>
          <w:rFonts w:ascii="Times New Roman" w:hAnsi="Times New Roman" w:cs="Times New Roman"/>
          <w:color w:val="000000" w:themeColor="text1"/>
          <w:highlight w:val="none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00"/>
        <w:numPr>
          <w:ilvl w:val="0"/>
          <w:numId w:val="14"/>
        </w:numPr>
        <w:ind w:left="0" w:right="0" w:firstLine="567"/>
        <w:jc w:val="both"/>
        <w:spacing w:after="0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  <w:t xml:space="preserve">Запущен сервис «Нейросетевой агент» по вопросам отключения электроэнергии.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00"/>
        <w:numPr>
          <w:ilvl w:val="0"/>
          <w:numId w:val="14"/>
        </w:numPr>
        <w:ind w:left="0" w:right="0" w:firstLine="567"/>
        <w:jc w:val="both"/>
        <w:spacing w:after="0"/>
        <w:rPr>
          <w:rFonts w:ascii="Times New Roman" w:hAnsi="Times New Roman" w:cs="Times New Roman"/>
          <w:color w:val="000000" w:themeColor="text1"/>
          <w14:ligatures w14:val="none"/>
        </w:rPr>
      </w:pP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  <w:t xml:space="preserve">На официальном сайте компании обновлен </w:t>
      </w:r>
      <w:r>
        <w:rPr>
          <w:rFonts w:ascii="Times New Roman" w:hAnsi="Times New Roman" w:cs="Times New Roman"/>
          <w:color w:val="000000" w:themeColor="text1"/>
        </w:rPr>
        <w:t xml:space="preserve">веб-интерфейс анкеты потребителя.</w:t>
      </w:r>
      <w:r>
        <w:rPr>
          <w:rFonts w:ascii="Times New Roman" w:hAnsi="Times New Roman" w:cs="Times New Roman"/>
          <w:color w:val="000000" w:themeColor="text1"/>
          <w14:ligatures w14:val="none"/>
        </w:rPr>
      </w:r>
      <w:r>
        <w:rPr>
          <w:rFonts w:ascii="Times New Roman" w:hAnsi="Times New Roman" w:cs="Times New Roman"/>
          <w:color w:val="000000" w:themeColor="text1"/>
          <w14:ligatures w14:val="none"/>
        </w:rPr>
      </w:r>
    </w:p>
    <w:p>
      <w:pPr>
        <w:ind w:left="567" w:right="0" w:firstLine="0"/>
        <w:jc w:val="both"/>
        <w:spacing w:after="0"/>
        <w:rPr>
          <w:rFonts w:ascii="Times New Roman" w:hAnsi="Times New Roman" w:cs="Times New Roman"/>
          <w:color w:val="000000" w:themeColor="text1"/>
          <w14:ligatures w14:val="none"/>
        </w:rPr>
      </w:pPr>
      <w:r>
        <w:rPr>
          <w:rFonts w:ascii="Times New Roman" w:hAnsi="Times New Roman" w:cs="Times New Roman"/>
          <w:color w:val="000000" w:themeColor="text1"/>
          <w:highlight w:val="none"/>
          <w14:ligatures w14:val="none"/>
        </w:rPr>
      </w:r>
      <w:r>
        <w:rPr>
          <w:rFonts w:ascii="Times New Roman" w:hAnsi="Times New Roman" w:cs="Times New Roman"/>
          <w:color w:val="000000" w:themeColor="text1"/>
          <w:highlight w:val="none"/>
          <w14:ligatures w14:val="none"/>
        </w:rPr>
      </w:r>
      <w:r>
        <w:rPr>
          <w:rFonts w:ascii="Times New Roman" w:hAnsi="Times New Roman" w:cs="Times New Roman"/>
          <w:color w:val="000000" w:themeColor="text1"/>
          <w14:ligatures w14:val="none"/>
        </w:rPr>
      </w:r>
    </w:p>
    <w:p>
      <w:pPr>
        <w:pStyle w:val="900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по обращениям 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900"/>
        <w:ind w:left="720" w:right="0" w:hanging="153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4.9.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Arial Narrow">
    <w:panose1 w:val="020B0604020202020204"/>
  </w:font>
  <w:font w:name="Times New Roman">
    <w:panose1 w:val="02020603050405020304"/>
  </w:font>
  <w:font w:name="Geometria Medium">
    <w:panose1 w:val="02000603000000000000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178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5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1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4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cs="Arial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sz w:val="26"/>
      </w:rPr>
    </w:lvl>
    <w:lvl w:ilvl="1">
      <w:start w:val="1"/>
      <w:numFmt w:val="decimal"/>
      <w:isLgl w:val="false"/>
      <w:suff w:val="space"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6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91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3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5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7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9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51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3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5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178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80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178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5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1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4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180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cs="Arial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80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Ø"/>
      <w:lvlJc w:val="left"/>
      <w:pPr>
        <w:ind w:left="709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cs="Arial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178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1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4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178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5"/>
  </w:num>
  <w:num w:numId="2">
    <w:abstractNumId w:val="12"/>
  </w:num>
  <w:num w:numId="3">
    <w:abstractNumId w:val="1"/>
  </w:num>
  <w:num w:numId="4">
    <w:abstractNumId w:val="11"/>
    <w:lvlOverride w:ilvl="0">
      <w:startOverride w:val="1"/>
    </w:lvlOverride>
  </w:num>
  <w:num w:numId="5">
    <w:abstractNumId w:val="16"/>
  </w:num>
  <w:num w:numId="6">
    <w:abstractNumId w:val="13"/>
  </w:num>
  <w:num w:numId="7">
    <w:abstractNumId w:val="4"/>
  </w:num>
  <w:num w:numId="8">
    <w:abstractNumId w:val="15"/>
  </w:num>
  <w:num w:numId="9">
    <w:abstractNumId w:val="8"/>
  </w:num>
  <w:num w:numId="10">
    <w:abstractNumId w:val="10"/>
  </w:num>
  <w:num w:numId="11">
    <w:abstractNumId w:val="6"/>
  </w:num>
  <w:num w:numId="12">
    <w:abstractNumId w:val="17"/>
  </w:num>
  <w:num w:numId="13">
    <w:abstractNumId w:val="3"/>
  </w:num>
  <w:num w:numId="14">
    <w:abstractNumId w:val="14"/>
  </w:num>
  <w:num w:numId="15">
    <w:abstractNumId w:val="0"/>
  </w:num>
  <w:num w:numId="16">
    <w:abstractNumId w:val="9"/>
  </w:num>
  <w:num w:numId="17">
    <w:abstractNumId w:val="7"/>
  </w:num>
  <w:num w:numId="18">
    <w:abstractNumId w:val="2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4">
    <w:name w:val="Heading 1 Char"/>
    <w:basedOn w:val="731"/>
    <w:link w:val="722"/>
    <w:uiPriority w:val="9"/>
    <w:rPr>
      <w:rFonts w:ascii="Arial" w:hAnsi="Arial" w:eastAsia="Arial" w:cs="Arial"/>
      <w:sz w:val="40"/>
      <w:szCs w:val="40"/>
    </w:rPr>
  </w:style>
  <w:style w:type="character" w:styleId="705">
    <w:name w:val="Heading 2 Char"/>
    <w:basedOn w:val="731"/>
    <w:link w:val="723"/>
    <w:uiPriority w:val="9"/>
    <w:rPr>
      <w:rFonts w:ascii="Arial" w:hAnsi="Arial" w:eastAsia="Arial" w:cs="Arial"/>
      <w:sz w:val="34"/>
    </w:rPr>
  </w:style>
  <w:style w:type="character" w:styleId="706">
    <w:name w:val="Heading 3 Char"/>
    <w:basedOn w:val="731"/>
    <w:link w:val="724"/>
    <w:uiPriority w:val="9"/>
    <w:rPr>
      <w:rFonts w:ascii="Arial" w:hAnsi="Arial" w:eastAsia="Arial" w:cs="Arial"/>
      <w:sz w:val="30"/>
      <w:szCs w:val="30"/>
    </w:rPr>
  </w:style>
  <w:style w:type="character" w:styleId="707">
    <w:name w:val="Heading 4 Char"/>
    <w:basedOn w:val="731"/>
    <w:link w:val="725"/>
    <w:uiPriority w:val="9"/>
    <w:rPr>
      <w:rFonts w:ascii="Arial" w:hAnsi="Arial" w:eastAsia="Arial" w:cs="Arial"/>
      <w:b/>
      <w:bCs/>
      <w:sz w:val="26"/>
      <w:szCs w:val="26"/>
    </w:rPr>
  </w:style>
  <w:style w:type="character" w:styleId="708">
    <w:name w:val="Heading 5 Char"/>
    <w:basedOn w:val="731"/>
    <w:link w:val="726"/>
    <w:uiPriority w:val="9"/>
    <w:rPr>
      <w:rFonts w:ascii="Arial" w:hAnsi="Arial" w:eastAsia="Arial" w:cs="Arial"/>
      <w:b/>
      <w:bCs/>
      <w:sz w:val="24"/>
      <w:szCs w:val="24"/>
    </w:rPr>
  </w:style>
  <w:style w:type="character" w:styleId="709">
    <w:name w:val="Heading 6 Char"/>
    <w:basedOn w:val="731"/>
    <w:link w:val="727"/>
    <w:uiPriority w:val="9"/>
    <w:rPr>
      <w:rFonts w:ascii="Arial" w:hAnsi="Arial" w:eastAsia="Arial" w:cs="Arial"/>
      <w:b/>
      <w:bCs/>
      <w:sz w:val="22"/>
      <w:szCs w:val="22"/>
    </w:rPr>
  </w:style>
  <w:style w:type="character" w:styleId="710">
    <w:name w:val="Heading 7 Char"/>
    <w:basedOn w:val="731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1">
    <w:name w:val="Heading 8 Char"/>
    <w:basedOn w:val="731"/>
    <w:link w:val="729"/>
    <w:uiPriority w:val="9"/>
    <w:rPr>
      <w:rFonts w:ascii="Arial" w:hAnsi="Arial" w:eastAsia="Arial" w:cs="Arial"/>
      <w:i/>
      <w:iCs/>
      <w:sz w:val="22"/>
      <w:szCs w:val="22"/>
    </w:rPr>
  </w:style>
  <w:style w:type="character" w:styleId="712">
    <w:name w:val="Heading 9 Char"/>
    <w:basedOn w:val="731"/>
    <w:link w:val="730"/>
    <w:uiPriority w:val="9"/>
    <w:rPr>
      <w:rFonts w:ascii="Arial" w:hAnsi="Arial" w:eastAsia="Arial" w:cs="Arial"/>
      <w:i/>
      <w:iCs/>
      <w:sz w:val="21"/>
      <w:szCs w:val="21"/>
    </w:rPr>
  </w:style>
  <w:style w:type="character" w:styleId="713">
    <w:name w:val="Title Char"/>
    <w:basedOn w:val="731"/>
    <w:link w:val="744"/>
    <w:uiPriority w:val="10"/>
    <w:rPr>
      <w:sz w:val="48"/>
      <w:szCs w:val="48"/>
    </w:rPr>
  </w:style>
  <w:style w:type="character" w:styleId="714">
    <w:name w:val="Subtitle Char"/>
    <w:basedOn w:val="731"/>
    <w:link w:val="746"/>
    <w:uiPriority w:val="11"/>
    <w:rPr>
      <w:sz w:val="24"/>
      <w:szCs w:val="24"/>
    </w:rPr>
  </w:style>
  <w:style w:type="character" w:styleId="715">
    <w:name w:val="Quote Char"/>
    <w:link w:val="748"/>
    <w:uiPriority w:val="29"/>
    <w:rPr>
      <w:i/>
    </w:rPr>
  </w:style>
  <w:style w:type="character" w:styleId="716">
    <w:name w:val="Intense Quote Char"/>
    <w:link w:val="750"/>
    <w:uiPriority w:val="30"/>
    <w:rPr>
      <w:i/>
    </w:rPr>
  </w:style>
  <w:style w:type="character" w:styleId="717">
    <w:name w:val="Header Char"/>
    <w:basedOn w:val="731"/>
    <w:link w:val="752"/>
    <w:uiPriority w:val="99"/>
  </w:style>
  <w:style w:type="character" w:styleId="718">
    <w:name w:val="Caption Char"/>
    <w:basedOn w:val="756"/>
    <w:link w:val="754"/>
    <w:uiPriority w:val="99"/>
  </w:style>
  <w:style w:type="character" w:styleId="719">
    <w:name w:val="Footnote Text Char"/>
    <w:link w:val="883"/>
    <w:uiPriority w:val="99"/>
    <w:rPr>
      <w:sz w:val="18"/>
    </w:rPr>
  </w:style>
  <w:style w:type="character" w:styleId="720">
    <w:name w:val="Endnote Text Char"/>
    <w:link w:val="886"/>
    <w:uiPriority w:val="99"/>
    <w:rPr>
      <w:sz w:val="20"/>
    </w:rPr>
  </w:style>
  <w:style w:type="paragraph" w:styleId="721" w:default="1">
    <w:name w:val="Normal"/>
    <w:qFormat/>
  </w:style>
  <w:style w:type="paragraph" w:styleId="722">
    <w:name w:val="Heading 1"/>
    <w:basedOn w:val="721"/>
    <w:next w:val="721"/>
    <w:link w:val="73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23">
    <w:name w:val="Heading 2"/>
    <w:basedOn w:val="721"/>
    <w:next w:val="721"/>
    <w:link w:val="73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4">
    <w:name w:val="Heading 3"/>
    <w:basedOn w:val="721"/>
    <w:next w:val="721"/>
    <w:link w:val="73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25">
    <w:name w:val="Heading 4"/>
    <w:basedOn w:val="721"/>
    <w:next w:val="721"/>
    <w:link w:val="73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6">
    <w:name w:val="Heading 5"/>
    <w:basedOn w:val="721"/>
    <w:next w:val="721"/>
    <w:link w:val="73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7">
    <w:name w:val="Heading 6"/>
    <w:basedOn w:val="721"/>
    <w:next w:val="721"/>
    <w:link w:val="73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8">
    <w:name w:val="Heading 7"/>
    <w:basedOn w:val="721"/>
    <w:next w:val="721"/>
    <w:link w:val="74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9">
    <w:name w:val="Heading 8"/>
    <w:basedOn w:val="721"/>
    <w:next w:val="721"/>
    <w:link w:val="74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30">
    <w:name w:val="Heading 9"/>
    <w:basedOn w:val="721"/>
    <w:next w:val="721"/>
    <w:link w:val="74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1" w:default="1">
    <w:name w:val="Default Paragraph Font"/>
    <w:uiPriority w:val="1"/>
    <w:semiHidden/>
    <w:unhideWhenUsed/>
  </w:style>
  <w:style w:type="table" w:styleId="7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3" w:default="1">
    <w:name w:val="No List"/>
    <w:uiPriority w:val="99"/>
    <w:semiHidden/>
    <w:unhideWhenUsed/>
  </w:style>
  <w:style w:type="character" w:styleId="734" w:customStyle="1">
    <w:name w:val="Заголовок 1 Знак"/>
    <w:basedOn w:val="731"/>
    <w:link w:val="722"/>
    <w:uiPriority w:val="9"/>
    <w:rPr>
      <w:rFonts w:ascii="Arial" w:hAnsi="Arial" w:eastAsia="Arial" w:cs="Arial"/>
      <w:sz w:val="40"/>
      <w:szCs w:val="40"/>
    </w:rPr>
  </w:style>
  <w:style w:type="character" w:styleId="735" w:customStyle="1">
    <w:name w:val="Заголовок 2 Знак"/>
    <w:basedOn w:val="731"/>
    <w:link w:val="723"/>
    <w:uiPriority w:val="9"/>
    <w:rPr>
      <w:rFonts w:ascii="Arial" w:hAnsi="Arial" w:eastAsia="Arial" w:cs="Arial"/>
      <w:sz w:val="34"/>
    </w:rPr>
  </w:style>
  <w:style w:type="character" w:styleId="736" w:customStyle="1">
    <w:name w:val="Заголовок 3 Знак"/>
    <w:basedOn w:val="731"/>
    <w:link w:val="724"/>
    <w:uiPriority w:val="9"/>
    <w:rPr>
      <w:rFonts w:ascii="Arial" w:hAnsi="Arial" w:eastAsia="Arial" w:cs="Arial"/>
      <w:sz w:val="30"/>
      <w:szCs w:val="30"/>
    </w:rPr>
  </w:style>
  <w:style w:type="character" w:styleId="737" w:customStyle="1">
    <w:name w:val="Заголовок 4 Знак"/>
    <w:basedOn w:val="731"/>
    <w:link w:val="725"/>
    <w:uiPriority w:val="9"/>
    <w:rPr>
      <w:rFonts w:ascii="Arial" w:hAnsi="Arial" w:eastAsia="Arial" w:cs="Arial"/>
      <w:b/>
      <w:bCs/>
      <w:sz w:val="26"/>
      <w:szCs w:val="26"/>
    </w:rPr>
  </w:style>
  <w:style w:type="character" w:styleId="738" w:customStyle="1">
    <w:name w:val="Заголовок 5 Знак"/>
    <w:basedOn w:val="731"/>
    <w:link w:val="726"/>
    <w:uiPriority w:val="9"/>
    <w:rPr>
      <w:rFonts w:ascii="Arial" w:hAnsi="Arial" w:eastAsia="Arial" w:cs="Arial"/>
      <w:b/>
      <w:bCs/>
      <w:sz w:val="24"/>
      <w:szCs w:val="24"/>
    </w:rPr>
  </w:style>
  <w:style w:type="character" w:styleId="739" w:customStyle="1">
    <w:name w:val="Заголовок 6 Знак"/>
    <w:basedOn w:val="731"/>
    <w:link w:val="727"/>
    <w:uiPriority w:val="9"/>
    <w:rPr>
      <w:rFonts w:ascii="Arial" w:hAnsi="Arial" w:eastAsia="Arial" w:cs="Arial"/>
      <w:b/>
      <w:bCs/>
      <w:sz w:val="22"/>
      <w:szCs w:val="22"/>
    </w:rPr>
  </w:style>
  <w:style w:type="character" w:styleId="740" w:customStyle="1">
    <w:name w:val="Заголовок 7 Знак"/>
    <w:basedOn w:val="731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1" w:customStyle="1">
    <w:name w:val="Заголовок 8 Знак"/>
    <w:basedOn w:val="731"/>
    <w:link w:val="729"/>
    <w:uiPriority w:val="9"/>
    <w:rPr>
      <w:rFonts w:ascii="Arial" w:hAnsi="Arial" w:eastAsia="Arial" w:cs="Arial"/>
      <w:i/>
      <w:iCs/>
      <w:sz w:val="22"/>
      <w:szCs w:val="22"/>
    </w:rPr>
  </w:style>
  <w:style w:type="character" w:styleId="742" w:customStyle="1">
    <w:name w:val="Заголовок 9 Знак"/>
    <w:basedOn w:val="731"/>
    <w:link w:val="730"/>
    <w:uiPriority w:val="9"/>
    <w:rPr>
      <w:rFonts w:ascii="Arial" w:hAnsi="Arial" w:eastAsia="Arial" w:cs="Arial"/>
      <w:i/>
      <w:iCs/>
      <w:sz w:val="21"/>
      <w:szCs w:val="21"/>
    </w:rPr>
  </w:style>
  <w:style w:type="paragraph" w:styleId="743">
    <w:name w:val="No Spacing"/>
    <w:uiPriority w:val="1"/>
    <w:qFormat/>
    <w:pPr>
      <w:spacing w:after="0" w:line="240" w:lineRule="auto"/>
    </w:pPr>
  </w:style>
  <w:style w:type="paragraph" w:styleId="744">
    <w:name w:val="Title"/>
    <w:basedOn w:val="721"/>
    <w:next w:val="721"/>
    <w:link w:val="745"/>
    <w:uiPriority w:val="10"/>
    <w:qFormat/>
    <w:pPr>
      <w:contextualSpacing/>
      <w:spacing w:before="300"/>
    </w:pPr>
    <w:rPr>
      <w:sz w:val="48"/>
      <w:szCs w:val="48"/>
    </w:rPr>
  </w:style>
  <w:style w:type="character" w:styleId="745" w:customStyle="1">
    <w:name w:val="Заголовок Знак"/>
    <w:basedOn w:val="731"/>
    <w:link w:val="744"/>
    <w:uiPriority w:val="10"/>
    <w:rPr>
      <w:sz w:val="48"/>
      <w:szCs w:val="48"/>
    </w:rPr>
  </w:style>
  <w:style w:type="paragraph" w:styleId="746">
    <w:name w:val="Subtitle"/>
    <w:basedOn w:val="721"/>
    <w:next w:val="721"/>
    <w:link w:val="747"/>
    <w:uiPriority w:val="11"/>
    <w:qFormat/>
    <w:pPr>
      <w:spacing w:before="200"/>
    </w:pPr>
    <w:rPr>
      <w:sz w:val="24"/>
      <w:szCs w:val="24"/>
    </w:rPr>
  </w:style>
  <w:style w:type="character" w:styleId="747" w:customStyle="1">
    <w:name w:val="Подзаголовок Знак"/>
    <w:basedOn w:val="731"/>
    <w:link w:val="746"/>
    <w:uiPriority w:val="11"/>
    <w:rPr>
      <w:sz w:val="24"/>
      <w:szCs w:val="24"/>
    </w:rPr>
  </w:style>
  <w:style w:type="paragraph" w:styleId="748">
    <w:name w:val="Quote"/>
    <w:basedOn w:val="721"/>
    <w:next w:val="721"/>
    <w:link w:val="749"/>
    <w:uiPriority w:val="29"/>
    <w:qFormat/>
    <w:pPr>
      <w:ind w:left="720" w:right="720"/>
    </w:pPr>
    <w:rPr>
      <w:i/>
    </w:rPr>
  </w:style>
  <w:style w:type="character" w:styleId="749" w:customStyle="1">
    <w:name w:val="Цитата 2 Знак"/>
    <w:link w:val="748"/>
    <w:uiPriority w:val="29"/>
    <w:rPr>
      <w:i/>
    </w:rPr>
  </w:style>
  <w:style w:type="paragraph" w:styleId="750">
    <w:name w:val="Intense Quote"/>
    <w:basedOn w:val="721"/>
    <w:next w:val="721"/>
    <w:link w:val="75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1" w:customStyle="1">
    <w:name w:val="Выделенная цитата Знак"/>
    <w:link w:val="750"/>
    <w:uiPriority w:val="30"/>
    <w:rPr>
      <w:i/>
    </w:rPr>
  </w:style>
  <w:style w:type="paragraph" w:styleId="752">
    <w:name w:val="Header"/>
    <w:basedOn w:val="721"/>
    <w:link w:val="75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3" w:customStyle="1">
    <w:name w:val="Верхний колонтитул Знак"/>
    <w:basedOn w:val="731"/>
    <w:link w:val="752"/>
    <w:uiPriority w:val="99"/>
  </w:style>
  <w:style w:type="paragraph" w:styleId="754">
    <w:name w:val="Footer"/>
    <w:basedOn w:val="721"/>
    <w:link w:val="75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5" w:customStyle="1">
    <w:name w:val="Footer Char"/>
    <w:basedOn w:val="731"/>
    <w:uiPriority w:val="99"/>
  </w:style>
  <w:style w:type="paragraph" w:styleId="756">
    <w:name w:val="Caption"/>
    <w:basedOn w:val="721"/>
    <w:next w:val="721"/>
    <w:link w:val="71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57" w:customStyle="1">
    <w:name w:val="Нижний колонтитул Знак"/>
    <w:link w:val="754"/>
    <w:uiPriority w:val="99"/>
  </w:style>
  <w:style w:type="table" w:styleId="758" w:customStyle="1">
    <w:name w:val="Table Grid Light"/>
    <w:basedOn w:val="73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9">
    <w:name w:val="Plain Table 1"/>
    <w:basedOn w:val="73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0">
    <w:name w:val="Plain Table 2"/>
    <w:basedOn w:val="73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>
    <w:name w:val="Plain Table 3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2">
    <w:name w:val="Plain Table 4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Plain Table 5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4">
    <w:name w:val="Grid Table 1 Light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4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6" w:customStyle="1">
    <w:name w:val="Grid Table 4 - Accent 1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7" w:customStyle="1">
    <w:name w:val="Grid Table 4 - Accent 2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8" w:customStyle="1">
    <w:name w:val="Grid Table 4 - Accent 3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9" w:customStyle="1">
    <w:name w:val="Grid Table 4 - Accent 4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0" w:customStyle="1">
    <w:name w:val="Grid Table 4 - Accent 5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1" w:customStyle="1">
    <w:name w:val="Grid Table 4 - Accent 6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2">
    <w:name w:val="Grid Table 5 Dark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9">
    <w:name w:val="Grid Table 6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0" w:customStyle="1">
    <w:name w:val="Grid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1" w:customStyle="1">
    <w:name w:val="Grid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2" w:customStyle="1">
    <w:name w:val="Grid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3" w:customStyle="1">
    <w:name w:val="Grid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4" w:customStyle="1">
    <w:name w:val="Grid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5" w:customStyle="1">
    <w:name w:val="Grid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6">
    <w:name w:val="Grid Table 7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Grid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Grid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Grid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Grid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Grid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>
    <w:name w:val="List Table 1 Light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1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2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3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4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5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6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7">
    <w:name w:val="List Table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5 Dark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>
    <w:name w:val="List Table 6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9" w:customStyle="1">
    <w:name w:val="List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0" w:customStyle="1">
    <w:name w:val="List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1" w:customStyle="1">
    <w:name w:val="List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2" w:customStyle="1">
    <w:name w:val="List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3" w:customStyle="1">
    <w:name w:val="List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4" w:customStyle="1">
    <w:name w:val="List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5">
    <w:name w:val="List Table 7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List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List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 w:customStyle="1">
    <w:name w:val="List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List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List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ned - Accent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3" w:customStyle="1">
    <w:name w:val="Lined - Accent 1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4" w:customStyle="1">
    <w:name w:val="Lined - Accent 2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5" w:customStyle="1">
    <w:name w:val="Lined - Accent 3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6" w:customStyle="1">
    <w:name w:val="Lined - Accent 4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7" w:customStyle="1">
    <w:name w:val="Lined - Accent 5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8" w:customStyle="1">
    <w:name w:val="Lined - Accent 6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9" w:customStyle="1">
    <w:name w:val="Bordered &amp; Lined - Accent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Bordered &amp; Lined - Accent 1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1" w:customStyle="1">
    <w:name w:val="Bordered &amp; Lined - Accent 2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2" w:customStyle="1">
    <w:name w:val="Bordered &amp; Lined - Accent 3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3" w:customStyle="1">
    <w:name w:val="Bordered &amp; Lined - Accent 4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4" w:customStyle="1">
    <w:name w:val="Bordered &amp; Lined - Accent 5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5" w:customStyle="1">
    <w:name w:val="Bordered &amp; Lined - Accent 6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6" w:customStyle="1">
    <w:name w:val="Bordered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7" w:customStyle="1">
    <w:name w:val="Bordered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8" w:customStyle="1">
    <w:name w:val="Bordered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9" w:customStyle="1">
    <w:name w:val="Bordered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0" w:customStyle="1">
    <w:name w:val="Bordered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1" w:customStyle="1">
    <w:name w:val="Bordered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2" w:customStyle="1">
    <w:name w:val="Bordered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83">
    <w:name w:val="footnote text"/>
    <w:basedOn w:val="721"/>
    <w:link w:val="884"/>
    <w:uiPriority w:val="99"/>
    <w:semiHidden/>
    <w:unhideWhenUsed/>
    <w:pPr>
      <w:spacing w:after="40" w:line="240" w:lineRule="auto"/>
    </w:pPr>
    <w:rPr>
      <w:sz w:val="18"/>
    </w:rPr>
  </w:style>
  <w:style w:type="character" w:styleId="884" w:customStyle="1">
    <w:name w:val="Текст сноски Знак"/>
    <w:link w:val="883"/>
    <w:uiPriority w:val="99"/>
    <w:rPr>
      <w:sz w:val="18"/>
    </w:rPr>
  </w:style>
  <w:style w:type="character" w:styleId="885">
    <w:name w:val="footnote reference"/>
    <w:basedOn w:val="731"/>
    <w:uiPriority w:val="99"/>
    <w:unhideWhenUsed/>
    <w:rPr>
      <w:vertAlign w:val="superscript"/>
    </w:rPr>
  </w:style>
  <w:style w:type="paragraph" w:styleId="886">
    <w:name w:val="endnote text"/>
    <w:basedOn w:val="721"/>
    <w:link w:val="887"/>
    <w:uiPriority w:val="99"/>
    <w:semiHidden/>
    <w:unhideWhenUsed/>
    <w:pPr>
      <w:spacing w:after="0" w:line="240" w:lineRule="auto"/>
    </w:pPr>
    <w:rPr>
      <w:sz w:val="20"/>
    </w:rPr>
  </w:style>
  <w:style w:type="character" w:styleId="887" w:customStyle="1">
    <w:name w:val="Текст концевой сноски Знак"/>
    <w:link w:val="886"/>
    <w:uiPriority w:val="99"/>
    <w:rPr>
      <w:sz w:val="20"/>
    </w:rPr>
  </w:style>
  <w:style w:type="character" w:styleId="888">
    <w:name w:val="endnote reference"/>
    <w:basedOn w:val="731"/>
    <w:uiPriority w:val="99"/>
    <w:semiHidden/>
    <w:unhideWhenUsed/>
    <w:rPr>
      <w:vertAlign w:val="superscript"/>
    </w:rPr>
  </w:style>
  <w:style w:type="paragraph" w:styleId="889">
    <w:name w:val="toc 1"/>
    <w:basedOn w:val="721"/>
    <w:next w:val="721"/>
    <w:uiPriority w:val="39"/>
    <w:unhideWhenUsed/>
    <w:pPr>
      <w:spacing w:after="57"/>
    </w:pPr>
  </w:style>
  <w:style w:type="paragraph" w:styleId="890">
    <w:name w:val="toc 2"/>
    <w:basedOn w:val="721"/>
    <w:next w:val="721"/>
    <w:uiPriority w:val="39"/>
    <w:unhideWhenUsed/>
    <w:pPr>
      <w:ind w:left="283"/>
      <w:spacing w:after="57"/>
    </w:pPr>
  </w:style>
  <w:style w:type="paragraph" w:styleId="891">
    <w:name w:val="toc 3"/>
    <w:basedOn w:val="721"/>
    <w:next w:val="721"/>
    <w:uiPriority w:val="39"/>
    <w:unhideWhenUsed/>
    <w:pPr>
      <w:ind w:left="567"/>
      <w:spacing w:after="57"/>
    </w:pPr>
  </w:style>
  <w:style w:type="paragraph" w:styleId="892">
    <w:name w:val="toc 4"/>
    <w:basedOn w:val="721"/>
    <w:next w:val="721"/>
    <w:uiPriority w:val="39"/>
    <w:unhideWhenUsed/>
    <w:pPr>
      <w:ind w:left="850"/>
      <w:spacing w:after="57"/>
    </w:pPr>
  </w:style>
  <w:style w:type="paragraph" w:styleId="893">
    <w:name w:val="toc 5"/>
    <w:basedOn w:val="721"/>
    <w:next w:val="721"/>
    <w:uiPriority w:val="39"/>
    <w:unhideWhenUsed/>
    <w:pPr>
      <w:ind w:left="1134"/>
      <w:spacing w:after="57"/>
    </w:pPr>
  </w:style>
  <w:style w:type="paragraph" w:styleId="894">
    <w:name w:val="toc 6"/>
    <w:basedOn w:val="721"/>
    <w:next w:val="721"/>
    <w:uiPriority w:val="39"/>
    <w:unhideWhenUsed/>
    <w:pPr>
      <w:ind w:left="1417"/>
      <w:spacing w:after="57"/>
    </w:pPr>
  </w:style>
  <w:style w:type="paragraph" w:styleId="895">
    <w:name w:val="toc 7"/>
    <w:basedOn w:val="721"/>
    <w:next w:val="721"/>
    <w:uiPriority w:val="39"/>
    <w:unhideWhenUsed/>
    <w:pPr>
      <w:ind w:left="1701"/>
      <w:spacing w:after="57"/>
    </w:pPr>
  </w:style>
  <w:style w:type="paragraph" w:styleId="896">
    <w:name w:val="toc 8"/>
    <w:basedOn w:val="721"/>
    <w:next w:val="721"/>
    <w:uiPriority w:val="39"/>
    <w:unhideWhenUsed/>
    <w:pPr>
      <w:ind w:left="1984"/>
      <w:spacing w:after="57"/>
    </w:pPr>
  </w:style>
  <w:style w:type="paragraph" w:styleId="897">
    <w:name w:val="toc 9"/>
    <w:basedOn w:val="721"/>
    <w:next w:val="721"/>
    <w:uiPriority w:val="39"/>
    <w:unhideWhenUsed/>
    <w:pPr>
      <w:ind w:left="2268"/>
      <w:spacing w:after="57"/>
    </w:pPr>
  </w:style>
  <w:style w:type="paragraph" w:styleId="898">
    <w:name w:val="TOC Heading"/>
    <w:uiPriority w:val="39"/>
    <w:unhideWhenUsed/>
  </w:style>
  <w:style w:type="paragraph" w:styleId="899">
    <w:name w:val="table of figures"/>
    <w:basedOn w:val="721"/>
    <w:next w:val="721"/>
    <w:uiPriority w:val="99"/>
    <w:unhideWhenUsed/>
    <w:pPr>
      <w:spacing w:after="0"/>
    </w:pPr>
  </w:style>
  <w:style w:type="paragraph" w:styleId="900">
    <w:name w:val="List Paragraph"/>
    <w:basedOn w:val="721"/>
    <w:uiPriority w:val="34"/>
    <w:qFormat/>
    <w:pPr>
      <w:contextualSpacing/>
      <w:ind w:left="720"/>
    </w:pPr>
  </w:style>
  <w:style w:type="character" w:styleId="901">
    <w:name w:val="Hyperlink"/>
    <w:basedOn w:val="731"/>
    <w:uiPriority w:val="99"/>
    <w:unhideWhenUsed/>
    <w:rPr>
      <w:rFonts w:hint="default" w:ascii="Geometria Medium" w:hAnsi="Geometria Medium"/>
      <w:strike w:val="0"/>
      <w:color w:val="0478cf"/>
      <w:u w:val="none"/>
      <w:shd w:val="clear" w:color="auto" w:fill="auto"/>
    </w:rPr>
  </w:style>
  <w:style w:type="table" w:styleId="902">
    <w:name w:val="Table Grid"/>
    <w:basedOn w:val="73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3" w:customStyle="1">
    <w:name w:val="ГПО35"/>
    <w:pPr>
      <w:ind w:left="786" w:hanging="360"/>
      <w:spacing w:after="48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04">
    <w:name w:val="Balloon Text"/>
    <w:basedOn w:val="721"/>
    <w:link w:val="905"/>
    <w:uiPriority w:val="99"/>
    <w:semiHidden/>
    <w:unhideWhenUsed/>
    <w:pPr>
      <w:spacing w:after="0" w:line="240" w:lineRule="auto"/>
    </w:pPr>
    <w:rPr>
      <w:rFonts w:ascii="Arial" w:hAnsi="Arial" w:cs="Arial"/>
      <w:sz w:val="18"/>
      <w:szCs w:val="18"/>
    </w:rPr>
  </w:style>
  <w:style w:type="character" w:styleId="905" w:customStyle="1">
    <w:name w:val="Текст выноски Знак"/>
    <w:basedOn w:val="731"/>
    <w:link w:val="904"/>
    <w:uiPriority w:val="99"/>
    <w:semiHidden/>
    <w:rPr>
      <w:rFonts w:ascii="Arial" w:hAnsi="Arial" w:cs="Arial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D7106-24BD-415C-8ED5-4A5B622E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МРСК Юга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Вовк Алексей Юрьевич</dc:creator>
  <cp:lastModifiedBy>Kuleshovada</cp:lastModifiedBy>
  <cp:revision>25</cp:revision>
  <dcterms:created xsi:type="dcterms:W3CDTF">2024-03-28T07:23:00Z</dcterms:created>
  <dcterms:modified xsi:type="dcterms:W3CDTF">2026-03-31T07:31:14Z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